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III 84</w:t>
      </w:r>
    </w:p>
    <w:p>
      <w:r>
        <w:t>Bundesgericht (BGE), 1993-01-01, FR</w:t>
      </w:r>
    </w:p>
    <w:p>
      <w:r>
        <w:rPr>
          <w:b/>
        </w:rPr>
        <w:t xml:space="preserve">Quelle: </w:t>
      </w:r>
      <w:r>
        <w:t>https://mcp.opencaselaw.ch/entscheid/bge_119 III 84</w:t>
      </w:r>
    </w:p>
    <w:p>
      <w:r>
        <w:t>FR: ATF 119 III 84</w:t>
      </w:r>
    </w:p>
    <w:p>
      <w:r>
        <w:t>IT: DTF 119 III 84</w:t>
      </w:r>
    </w:p>
    <w:p>
      <w:pPr>
        <w:pStyle w:val="Heading2"/>
      </w:pPr>
      <w:r>
        <w:t>Regeste</w:t>
      </w:r>
    </w:p>
    <w:p>
      <w:r>
        <w:t>Regeste Art. 244 ff. SchKG; Anfechtung des Kollokationsplanes. Unterschied zwischen der Beschwerde (Art. 17 SchKG) und der Klage (Art. 250 SchKG).</w:t>
      </w:r>
    </w:p>
    <w:p>
      <w:pPr>
        <w:pStyle w:val="Heading2"/>
      </w:pPr>
      <w:r>
        <w:t>Erwägungen</w:t>
      </w:r>
    </w:p>
    <w:p>
      <w:r>
        <w:rPr>
          <w:b/>
        </w:rPr>
        <w:t>E. 2</w:t>
      </w:r>
    </w:p>
    <w:p>
      <w:r>
        <w:t>L'état de collocation dans la faillite peut être contesté par la voie de la plainte (art. 17 LP) ou par celle de l'action en contestation de l'état de collocation (art. 250 LP). a) La voie de la plainte est ouverte lorsque l'état de collocation est imprécis, inintelligible ou entaché de vices de forme (lorsque, par exemple, il n'indique pas les motifs de rejet d'une créance) ou encore lorsque certaines prescriptions de procédure avec incidence de droit matériel n'ont pas été observées: ainsi, lorsqu'une décision a été prise en faveur d'une créance non produite ou insuffisamment établie, ou lorsque aucune décision n'est intervenue à propos d'une prétention produite ou inscrite au registre foncier (P.-R. GILLIÉRON, Poursuite pour dettes, faillite et concordat, 3e éd., Lausanne 1993, BGE 119 III 84 S. 85 p. 337/338; KURT AMONN, Grundriss des Schuldbetreibungs- und Konkursrechts, 5e éd., Berne 1993, § 46 n. 37). b) L'action porte, elle, sur le fond; elle a pour but de déterminer si et dans quelle mesure la créance litigieuse doit participer à la liquidation de la faillite (GILLIÉRON, op.cit., p. 338 ch. III A.a; AMONN, op.cit., § 46 n. 40-43). c) Le recourant reproche en substance à l'autorité cantonale de surveillance d'avoir entériné une décision affectée d'un vice de forme manifeste. D'après lui, en effet, la façon dont l'office a vérifié la créance produite et statué à son propos n'était pas conforme aux art. 244 et 245 LP: l'office aurait omis de vérifier le bien-fondé de cette production sur la base notamment des factures déposées ainsi que du jugement du 14 novembre 1991, et rendu une décision insuffisamment motivée, voire contradictoire en ce qui concerne la compensation de la production en question avec la créance contestée de la masse; par ailleurs, rien n'aurait justifié une différence de traitement entre la production du recourant et celle d'un autre créancier...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